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4F" w:rsidRDefault="002E4A4F" w:rsidP="006365F4">
      <w:pPr>
        <w:rPr>
          <w:rFonts w:ascii="Bookman Old Style" w:eastAsia="Times New Roman" w:hAnsi="Bookman Old Style" w:cs="Times New Roman"/>
          <w:b/>
          <w:sz w:val="16"/>
          <w:szCs w:val="16"/>
          <w:u w:val="single"/>
          <w:lang w:eastAsia="pl-PL"/>
        </w:rPr>
      </w:pPr>
    </w:p>
    <w:p w:rsidR="00054642" w:rsidRPr="003F00A8" w:rsidRDefault="00D24CB0" w:rsidP="00054642">
      <w:pPr>
        <w:jc w:val="right"/>
        <w:rPr>
          <w:rFonts w:ascii="Arial" w:hAnsi="Arial" w:cs="Arial"/>
          <w:szCs w:val="16"/>
        </w:rPr>
      </w:pPr>
      <w:r>
        <w:rPr>
          <w:rFonts w:ascii="Arial" w:eastAsia="Times New Roman" w:hAnsi="Arial" w:cs="Arial"/>
          <w:b/>
          <w:szCs w:val="16"/>
          <w:lang w:eastAsia="pl-PL"/>
        </w:rPr>
        <w:t>Załącznik nr 4</w:t>
      </w:r>
      <w:bookmarkStart w:id="0" w:name="_GoBack"/>
      <w:bookmarkEnd w:id="0"/>
      <w:r w:rsidR="00054642" w:rsidRPr="003F00A8">
        <w:rPr>
          <w:rFonts w:ascii="Arial" w:eastAsia="Times New Roman" w:hAnsi="Arial" w:cs="Arial"/>
          <w:b/>
          <w:szCs w:val="16"/>
          <w:lang w:eastAsia="pl-PL"/>
        </w:rPr>
        <w:t xml:space="preserve"> do umowy</w:t>
      </w:r>
      <w:r w:rsidR="00AE1209" w:rsidRPr="003F00A8">
        <w:rPr>
          <w:rFonts w:ascii="Arial" w:eastAsia="Times New Roman" w:hAnsi="Arial" w:cs="Arial"/>
          <w:b/>
          <w:szCs w:val="16"/>
          <w:lang w:eastAsia="pl-PL"/>
        </w:rPr>
        <w:t xml:space="preserve"> </w:t>
      </w:r>
    </w:p>
    <w:p w:rsidR="00054642" w:rsidRPr="000A6D59" w:rsidRDefault="00054642" w:rsidP="005E1E99">
      <w:pPr>
        <w:jc w:val="both"/>
        <w:rPr>
          <w:rFonts w:ascii="Bookman Old Style" w:hAnsi="Bookman Old Style"/>
        </w:rPr>
      </w:pPr>
    </w:p>
    <w:p w:rsidR="005E1E99" w:rsidRPr="005E1E99" w:rsidRDefault="005E1E99" w:rsidP="005E1E99">
      <w:pPr>
        <w:jc w:val="center"/>
        <w:rPr>
          <w:b/>
          <w:sz w:val="20"/>
          <w:szCs w:val="20"/>
        </w:rPr>
      </w:pPr>
      <w:r w:rsidRPr="005E1E99">
        <w:rPr>
          <w:b/>
          <w:sz w:val="20"/>
          <w:szCs w:val="20"/>
        </w:rPr>
        <w:t>Informacja dotycząca  przygotowania materiałów szkoleniowych, zgodnie ze Standardami dostępności dla polityki spójności na lata 2021-202</w:t>
      </w:r>
      <w:r>
        <w:rPr>
          <w:b/>
          <w:sz w:val="20"/>
          <w:szCs w:val="20"/>
        </w:rPr>
        <w:t>7   (z</w:t>
      </w:r>
      <w:r w:rsidRPr="005E1E99">
        <w:rPr>
          <w:b/>
          <w:sz w:val="20"/>
          <w:szCs w:val="20"/>
        </w:rPr>
        <w:t>ałącznik nr 2 do Wytycznych dotyczących realizacji zasad równościowych w ramach funduszy unijnych na lata 2021-2027)</w:t>
      </w:r>
    </w:p>
    <w:p w:rsidR="005E1E99" w:rsidRPr="005E1E99" w:rsidRDefault="005E1E99" w:rsidP="005E1E99">
      <w:pPr>
        <w:pStyle w:val="Akapitzlist"/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rFonts w:ascii="Calibri" w:hAnsi="Calibri" w:cs="Calibri"/>
          <w:b/>
          <w:sz w:val="20"/>
          <w:szCs w:val="20"/>
        </w:rPr>
      </w:pPr>
      <w:r w:rsidRPr="005E1E99">
        <w:rPr>
          <w:rFonts w:ascii="Calibri" w:hAnsi="Calibri" w:cs="Calibri"/>
          <w:b/>
          <w:sz w:val="20"/>
          <w:szCs w:val="20"/>
        </w:rPr>
        <w:t>Teksty – są pisane prostym językiem</w:t>
      </w:r>
    </w:p>
    <w:p w:rsidR="005E1E99" w:rsidRPr="005E1E99" w:rsidRDefault="005E1E99" w:rsidP="005E1E99">
      <w:pPr>
        <w:pStyle w:val="Akapitzlist"/>
        <w:numPr>
          <w:ilvl w:val="0"/>
          <w:numId w:val="1"/>
        </w:numPr>
        <w:tabs>
          <w:tab w:val="left" w:pos="284"/>
        </w:tabs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E1E99">
        <w:rPr>
          <w:rFonts w:ascii="Calibri" w:hAnsi="Calibri" w:cs="Calibri"/>
          <w:sz w:val="20"/>
          <w:szCs w:val="20"/>
        </w:rPr>
        <w:t>o ile to możliwe, unika się żargonów, skrótów  i związków frazeologicznych</w:t>
      </w:r>
    </w:p>
    <w:p w:rsidR="005E1E99" w:rsidRPr="005E1E99" w:rsidRDefault="005E1E99" w:rsidP="005E1E99">
      <w:pPr>
        <w:pStyle w:val="Akapitzlist"/>
        <w:numPr>
          <w:ilvl w:val="0"/>
          <w:numId w:val="1"/>
        </w:numPr>
        <w:tabs>
          <w:tab w:val="left" w:pos="284"/>
        </w:tabs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E1E99">
        <w:rPr>
          <w:rFonts w:ascii="Calibri" w:hAnsi="Calibri" w:cs="Calibri"/>
          <w:sz w:val="20"/>
          <w:szCs w:val="20"/>
        </w:rPr>
        <w:t xml:space="preserve">nie używa się trudnych wyrazów, a także skrótów zapożyczonych z innego języka chyba, że są dobrze znane </w:t>
      </w:r>
    </w:p>
    <w:p w:rsidR="005E1E99" w:rsidRPr="005E1E99" w:rsidRDefault="005E1E99" w:rsidP="005E1E99">
      <w:pPr>
        <w:pStyle w:val="Akapitzlist"/>
        <w:numPr>
          <w:ilvl w:val="0"/>
          <w:numId w:val="1"/>
        </w:numPr>
        <w:tabs>
          <w:tab w:val="left" w:pos="284"/>
        </w:tabs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E1E99">
        <w:rPr>
          <w:rFonts w:ascii="Calibri" w:hAnsi="Calibri" w:cs="Calibri"/>
          <w:sz w:val="20"/>
          <w:szCs w:val="20"/>
        </w:rPr>
        <w:t xml:space="preserve">jeśli używane są skróty branżowe, to przy pierwszym ich użyciu w dokumencie wskazuje się w nawiasie ich rozwinięcie </w:t>
      </w:r>
    </w:p>
    <w:p w:rsidR="005E1E99" w:rsidRPr="005E1E99" w:rsidRDefault="005E1E99" w:rsidP="005E1E99">
      <w:pPr>
        <w:pStyle w:val="Akapitzlist"/>
        <w:numPr>
          <w:ilvl w:val="0"/>
          <w:numId w:val="1"/>
        </w:numPr>
        <w:tabs>
          <w:tab w:val="left" w:pos="284"/>
        </w:tabs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E1E99">
        <w:rPr>
          <w:rFonts w:ascii="Calibri" w:hAnsi="Calibri" w:cs="Calibri"/>
          <w:sz w:val="20"/>
          <w:szCs w:val="20"/>
        </w:rPr>
        <w:t xml:space="preserve">w zdaniach stosuje się stronę czynną zamiast biernej </w:t>
      </w:r>
    </w:p>
    <w:p w:rsidR="005E1E99" w:rsidRPr="005E1E99" w:rsidRDefault="005E1E99" w:rsidP="005E1E99">
      <w:pPr>
        <w:pStyle w:val="Akapitzlist"/>
        <w:numPr>
          <w:ilvl w:val="0"/>
          <w:numId w:val="1"/>
        </w:numPr>
        <w:tabs>
          <w:tab w:val="left" w:pos="284"/>
        </w:tabs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E1E99">
        <w:rPr>
          <w:rFonts w:ascii="Calibri" w:hAnsi="Calibri" w:cs="Calibri"/>
          <w:sz w:val="20"/>
          <w:szCs w:val="20"/>
        </w:rPr>
        <w:t xml:space="preserve">podawane są przykłady </w:t>
      </w:r>
    </w:p>
    <w:p w:rsidR="005E1E99" w:rsidRPr="005E1E99" w:rsidRDefault="005E1E99" w:rsidP="005E1E99">
      <w:pPr>
        <w:pStyle w:val="Akapitzlist"/>
        <w:numPr>
          <w:ilvl w:val="0"/>
          <w:numId w:val="1"/>
        </w:numPr>
        <w:tabs>
          <w:tab w:val="left" w:pos="284"/>
        </w:tabs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E1E99">
        <w:rPr>
          <w:rFonts w:ascii="Calibri" w:hAnsi="Calibri" w:cs="Calibri"/>
          <w:sz w:val="20"/>
          <w:szCs w:val="20"/>
        </w:rPr>
        <w:t xml:space="preserve">wyrównane są do lewej strony – nie stosujemy justowania </w:t>
      </w:r>
    </w:p>
    <w:p w:rsidR="005E1E99" w:rsidRPr="005E1E99" w:rsidRDefault="005E1E99" w:rsidP="005E1E99">
      <w:pPr>
        <w:pStyle w:val="Akapitzlist"/>
        <w:numPr>
          <w:ilvl w:val="0"/>
          <w:numId w:val="1"/>
        </w:numPr>
        <w:tabs>
          <w:tab w:val="left" w:pos="284"/>
        </w:tabs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E1E99">
        <w:rPr>
          <w:rFonts w:ascii="Calibri" w:hAnsi="Calibri" w:cs="Calibri"/>
          <w:sz w:val="20"/>
          <w:szCs w:val="20"/>
        </w:rPr>
        <w:t xml:space="preserve">stosuje się zdania krótkie, jeśli jest to możliwe – pozytywne zamiast negatywnych (na przykład: „Realizuj dostępny projekt” zamiast „Nie powinieneś realizować niedostępnego projektu”). </w:t>
      </w:r>
    </w:p>
    <w:p w:rsidR="005E1E99" w:rsidRPr="005E1E99" w:rsidRDefault="005E1E99" w:rsidP="005E1E99">
      <w:pPr>
        <w:pStyle w:val="Akapitzlist"/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E1E99">
        <w:rPr>
          <w:rFonts w:ascii="Calibri" w:hAnsi="Calibri" w:cs="Calibri"/>
          <w:b/>
          <w:sz w:val="20"/>
          <w:szCs w:val="20"/>
        </w:rPr>
        <w:t>Dzielenie wyrazów</w:t>
      </w:r>
      <w:r w:rsidRPr="005E1E99">
        <w:rPr>
          <w:rFonts w:ascii="Calibri" w:hAnsi="Calibri" w:cs="Calibri"/>
          <w:sz w:val="20"/>
          <w:szCs w:val="20"/>
        </w:rPr>
        <w:t xml:space="preserve"> – funkcja domyślnie wyłączona. Do rozsuwania znaków używa się funkcji „tekst rozstrzelony”. Błędem jest wstawianie spacji między literami, ponieważ czytnik ekranu każdą z liter będzie traktował jak oddzielny wyraz. </w:t>
      </w:r>
    </w:p>
    <w:p w:rsidR="005E1E99" w:rsidRPr="005E1E99" w:rsidRDefault="005E1E99" w:rsidP="005E1E99">
      <w:pPr>
        <w:pStyle w:val="Akapitzlist"/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rFonts w:ascii="Calibri" w:hAnsi="Calibri" w:cs="Calibri"/>
          <w:b/>
          <w:sz w:val="20"/>
          <w:szCs w:val="20"/>
        </w:rPr>
      </w:pPr>
      <w:r w:rsidRPr="005E1E99">
        <w:rPr>
          <w:rFonts w:ascii="Calibri" w:hAnsi="Calibri" w:cs="Calibri"/>
          <w:b/>
          <w:sz w:val="20"/>
          <w:szCs w:val="20"/>
        </w:rPr>
        <w:t>Czcionka</w:t>
      </w:r>
    </w:p>
    <w:p w:rsidR="005E1E99" w:rsidRDefault="005E1E99" w:rsidP="005E1E99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ind w:left="284" w:firstLine="0"/>
        <w:jc w:val="both"/>
        <w:rPr>
          <w:rFonts w:ascii="Calibri" w:hAnsi="Calibri" w:cs="Calibri"/>
          <w:sz w:val="20"/>
          <w:szCs w:val="20"/>
        </w:rPr>
      </w:pPr>
      <w:proofErr w:type="spellStart"/>
      <w:r w:rsidRPr="005E1E99">
        <w:rPr>
          <w:rFonts w:ascii="Calibri" w:hAnsi="Calibri" w:cs="Calibri"/>
          <w:sz w:val="20"/>
          <w:szCs w:val="20"/>
        </w:rPr>
        <w:t>bezszeryfowa</w:t>
      </w:r>
      <w:proofErr w:type="spellEnd"/>
      <w:r w:rsidRPr="005E1E99">
        <w:rPr>
          <w:rFonts w:ascii="Calibri" w:hAnsi="Calibri" w:cs="Calibri"/>
          <w:sz w:val="20"/>
          <w:szCs w:val="20"/>
        </w:rPr>
        <w:t xml:space="preserve">, czyli o kroju pozbawionym ozdobników w postaci szeryfów – końcówki znaków są proste (na przykład </w:t>
      </w:r>
      <w:proofErr w:type="spellStart"/>
      <w:r w:rsidRPr="005E1E99">
        <w:rPr>
          <w:rFonts w:ascii="Calibri" w:hAnsi="Calibri" w:cs="Calibri"/>
          <w:sz w:val="20"/>
          <w:szCs w:val="20"/>
        </w:rPr>
        <w:t>Helvetica</w:t>
      </w:r>
      <w:proofErr w:type="spellEnd"/>
      <w:r w:rsidRPr="005E1E99">
        <w:rPr>
          <w:rFonts w:ascii="Calibri" w:hAnsi="Calibri" w:cs="Calibri"/>
          <w:sz w:val="20"/>
          <w:szCs w:val="20"/>
        </w:rPr>
        <w:t xml:space="preserve">, Arial, Calibri, Tahoma); przykłady czcionek szeryfowych, których nie należy stosować, to miedzy </w:t>
      </w:r>
      <w:r>
        <w:rPr>
          <w:rFonts w:ascii="Calibri" w:hAnsi="Calibri" w:cs="Calibri"/>
          <w:sz w:val="20"/>
          <w:szCs w:val="20"/>
        </w:rPr>
        <w:t>innymi Times New Roman, Century,</w:t>
      </w:r>
    </w:p>
    <w:p w:rsidR="005E1E99" w:rsidRDefault="005E1E99" w:rsidP="005E1E99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E1E99">
        <w:rPr>
          <w:rFonts w:ascii="Calibri" w:hAnsi="Calibri" w:cs="Calibri"/>
          <w:sz w:val="20"/>
          <w:szCs w:val="20"/>
        </w:rPr>
        <w:t>rozmiar: minimu</w:t>
      </w:r>
      <w:r>
        <w:rPr>
          <w:rFonts w:ascii="Calibri" w:hAnsi="Calibri" w:cs="Calibri"/>
          <w:sz w:val="20"/>
          <w:szCs w:val="20"/>
        </w:rPr>
        <w:t>m 12,</w:t>
      </w:r>
    </w:p>
    <w:p w:rsidR="005E1E99" w:rsidRPr="005E1E99" w:rsidRDefault="005E1E99" w:rsidP="006365F4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after="0"/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E1E99">
        <w:rPr>
          <w:rFonts w:ascii="Calibri" w:hAnsi="Calibri" w:cs="Calibri"/>
          <w:sz w:val="20"/>
          <w:szCs w:val="20"/>
        </w:rPr>
        <w:t xml:space="preserve">należy stosować interlinię miedzy wierszami: 1,15 lub 1,5. </w:t>
      </w:r>
    </w:p>
    <w:p w:rsidR="005E1E99" w:rsidRPr="005E1E99" w:rsidRDefault="005E1E99" w:rsidP="006365F4">
      <w:pPr>
        <w:pStyle w:val="Default"/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E1E99">
        <w:rPr>
          <w:rFonts w:ascii="Calibri" w:hAnsi="Calibri" w:cs="Calibri"/>
          <w:b/>
          <w:sz w:val="20"/>
          <w:szCs w:val="20"/>
        </w:rPr>
        <w:t>Nagłówki -</w:t>
      </w:r>
      <w:r w:rsidRPr="005E1E99">
        <w:rPr>
          <w:rFonts w:ascii="Calibri" w:hAnsi="Calibri" w:cs="Calibri"/>
          <w:sz w:val="20"/>
          <w:szCs w:val="20"/>
        </w:rPr>
        <w:t xml:space="preserve">używa się wbudowanych stylów: Nagłówek 1, 2 itd., które pozwalają osobom korzystającym z klawiatury i czytników ekranu przenosić kursor bezpośrednio do wybranego nagłówka. Prawidłowo oznaczone nagłówki pozwalają wyświetlić konspekt dokumentu, dzięki czemu można szybko zapoznać się z jego strukturą. </w:t>
      </w:r>
    </w:p>
    <w:p w:rsidR="005E1E99" w:rsidRDefault="005E1E99" w:rsidP="005E1E99">
      <w:pPr>
        <w:pStyle w:val="Default"/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E1E99">
        <w:rPr>
          <w:rFonts w:ascii="Calibri" w:hAnsi="Calibri" w:cs="Calibri"/>
          <w:b/>
          <w:sz w:val="20"/>
          <w:szCs w:val="20"/>
        </w:rPr>
        <w:t>Akapity</w:t>
      </w:r>
      <w:r w:rsidRPr="005E1E99">
        <w:rPr>
          <w:rFonts w:ascii="Calibri" w:hAnsi="Calibri" w:cs="Calibri"/>
          <w:sz w:val="20"/>
          <w:szCs w:val="20"/>
        </w:rPr>
        <w:t xml:space="preserve"> – tekst jest dzielony na akapity, które decydują o jego czytelności:</w:t>
      </w:r>
    </w:p>
    <w:p w:rsidR="005E1E99" w:rsidRPr="005E1E99" w:rsidRDefault="005E1E99" w:rsidP="005E1E99">
      <w:pPr>
        <w:pStyle w:val="Default"/>
        <w:numPr>
          <w:ilvl w:val="0"/>
          <w:numId w:val="10"/>
        </w:numPr>
        <w:tabs>
          <w:tab w:val="left" w:pos="284"/>
          <w:tab w:val="left" w:pos="567"/>
        </w:tabs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E1E99">
        <w:rPr>
          <w:rFonts w:ascii="Calibri" w:hAnsi="Calibri" w:cs="Calibri"/>
          <w:sz w:val="20"/>
          <w:szCs w:val="20"/>
        </w:rPr>
        <w:t>przeniesienie fragmentu akapitu czy zdania do nowej linii wykonuje się przez wstawienie znaku podziału linii – znak ten można wstawić używając klawiszy: &lt;</w:t>
      </w:r>
      <w:proofErr w:type="spellStart"/>
      <w:r w:rsidRPr="005E1E99">
        <w:rPr>
          <w:rFonts w:ascii="Calibri" w:hAnsi="Calibri" w:cs="Calibri"/>
          <w:sz w:val="20"/>
          <w:szCs w:val="20"/>
        </w:rPr>
        <w:t>Shift+Enter</w:t>
      </w:r>
      <w:proofErr w:type="spellEnd"/>
      <w:r w:rsidRPr="005E1E99">
        <w:rPr>
          <w:rFonts w:ascii="Calibri" w:hAnsi="Calibri" w:cs="Calibri"/>
          <w:sz w:val="20"/>
          <w:szCs w:val="20"/>
        </w:rPr>
        <w:t xml:space="preserve">&gt; </w:t>
      </w:r>
    </w:p>
    <w:p w:rsidR="005E1E99" w:rsidRPr="005E1E99" w:rsidRDefault="005E1E99" w:rsidP="005E1E99">
      <w:pPr>
        <w:pStyle w:val="Default"/>
        <w:numPr>
          <w:ilvl w:val="0"/>
          <w:numId w:val="4"/>
        </w:numPr>
        <w:tabs>
          <w:tab w:val="left" w:pos="284"/>
          <w:tab w:val="left" w:pos="567"/>
        </w:tabs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E1E99">
        <w:rPr>
          <w:rFonts w:ascii="Calibri" w:hAnsi="Calibri" w:cs="Calibri"/>
          <w:sz w:val="20"/>
          <w:szCs w:val="20"/>
        </w:rPr>
        <w:t>przeniesienie fragmentu dokumentu na nową stronę wykonuje się przez wstawienie znaku podziału strony: &lt;</w:t>
      </w:r>
      <w:proofErr w:type="spellStart"/>
      <w:r w:rsidRPr="005E1E99">
        <w:rPr>
          <w:rFonts w:ascii="Calibri" w:hAnsi="Calibri" w:cs="Calibri"/>
          <w:sz w:val="20"/>
          <w:szCs w:val="20"/>
        </w:rPr>
        <w:t>Ctrl+Enter</w:t>
      </w:r>
      <w:proofErr w:type="spellEnd"/>
      <w:r w:rsidRPr="005E1E99">
        <w:rPr>
          <w:rFonts w:ascii="Calibri" w:hAnsi="Calibri" w:cs="Calibri"/>
          <w:sz w:val="20"/>
          <w:szCs w:val="20"/>
        </w:rPr>
        <w:t xml:space="preserve">&gt; </w:t>
      </w:r>
    </w:p>
    <w:p w:rsidR="005E1E99" w:rsidRDefault="005E1E99" w:rsidP="005E1E99">
      <w:pPr>
        <w:pStyle w:val="Default"/>
        <w:numPr>
          <w:ilvl w:val="0"/>
          <w:numId w:val="4"/>
        </w:numPr>
        <w:tabs>
          <w:tab w:val="left" w:pos="284"/>
          <w:tab w:val="left" w:pos="567"/>
        </w:tabs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E1E99">
        <w:rPr>
          <w:rFonts w:ascii="Calibri" w:hAnsi="Calibri" w:cs="Calibri"/>
          <w:sz w:val="20"/>
          <w:szCs w:val="20"/>
        </w:rPr>
        <w:t>nie używa się klawisza &lt;</w:t>
      </w:r>
      <w:proofErr w:type="spellStart"/>
      <w:r w:rsidRPr="005E1E99">
        <w:rPr>
          <w:rFonts w:ascii="Calibri" w:hAnsi="Calibri" w:cs="Calibri"/>
          <w:sz w:val="20"/>
          <w:szCs w:val="20"/>
        </w:rPr>
        <w:t>Enter</w:t>
      </w:r>
      <w:proofErr w:type="spellEnd"/>
      <w:r w:rsidRPr="005E1E99">
        <w:rPr>
          <w:rFonts w:ascii="Calibri" w:hAnsi="Calibri" w:cs="Calibri"/>
          <w:sz w:val="20"/>
          <w:szCs w:val="20"/>
        </w:rPr>
        <w:t xml:space="preserve">&gt; do przesuwania treści – użytkownicy niewidomi otrzymują wówczas błędną informację od czytnika ekranu; może to również spowodować błędne wyświetlanie się dokumentów </w:t>
      </w:r>
    </w:p>
    <w:p w:rsidR="005E1E99" w:rsidRPr="005E1E99" w:rsidRDefault="005E1E99" w:rsidP="005E1E99">
      <w:pPr>
        <w:pStyle w:val="Default"/>
        <w:numPr>
          <w:ilvl w:val="0"/>
          <w:numId w:val="4"/>
        </w:numPr>
        <w:tabs>
          <w:tab w:val="left" w:pos="284"/>
          <w:tab w:val="left" w:pos="567"/>
        </w:tabs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E1E99">
        <w:rPr>
          <w:rFonts w:ascii="Calibri" w:hAnsi="Calibri" w:cs="Calibri"/>
          <w:sz w:val="20"/>
          <w:szCs w:val="20"/>
        </w:rPr>
        <w:t xml:space="preserve">nie tworzy się pionowych napisów – czytniki ekranu odczytują teksty zgodnie z obowiązującą w języku polskim zasadą pisania i czytania od lewej do prawej i od góry do dołu (tworzenie pionowych tekstów zaburza kolejności czytania tekstu) </w:t>
      </w:r>
      <w:r w:rsidR="0032571F">
        <w:rPr>
          <w:rFonts w:ascii="Calibri" w:hAnsi="Calibri" w:cs="Calibri"/>
          <w:sz w:val="20"/>
          <w:szCs w:val="20"/>
        </w:rPr>
        <w:t>.</w:t>
      </w:r>
    </w:p>
    <w:p w:rsidR="005E1E99" w:rsidRPr="005E1E99" w:rsidRDefault="005E1E99" w:rsidP="005E1E99">
      <w:pPr>
        <w:pStyle w:val="Default"/>
        <w:tabs>
          <w:tab w:val="left" w:pos="284"/>
        </w:tabs>
        <w:ind w:left="284"/>
        <w:jc w:val="both"/>
        <w:rPr>
          <w:rFonts w:ascii="Calibri" w:hAnsi="Calibri" w:cs="Calibri"/>
          <w:sz w:val="20"/>
          <w:szCs w:val="20"/>
        </w:rPr>
      </w:pPr>
    </w:p>
    <w:p w:rsidR="005E1E99" w:rsidRPr="005E1E99" w:rsidRDefault="005E1E99" w:rsidP="0032571F">
      <w:pPr>
        <w:pStyle w:val="Default"/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E1E99">
        <w:rPr>
          <w:rFonts w:ascii="Calibri" w:hAnsi="Calibri" w:cs="Calibri"/>
          <w:b/>
          <w:sz w:val="20"/>
          <w:szCs w:val="20"/>
        </w:rPr>
        <w:t>Hiperłącza</w:t>
      </w:r>
      <w:r w:rsidRPr="005E1E99">
        <w:rPr>
          <w:rFonts w:ascii="Calibri" w:hAnsi="Calibri" w:cs="Calibri"/>
          <w:sz w:val="20"/>
          <w:szCs w:val="20"/>
        </w:rPr>
        <w:t xml:space="preserve"> – przy tworzeniu alternatywnego opisu hiperłączy (linków) nie używa się nazw całych linków – należy nadać im nazwę, która jasno określi ich przeznaczenie, na przykład: </w:t>
      </w:r>
    </w:p>
    <w:p w:rsidR="005E1E99" w:rsidRPr="005E1E99" w:rsidRDefault="005E1E99" w:rsidP="0032571F">
      <w:pPr>
        <w:pStyle w:val="Default"/>
        <w:numPr>
          <w:ilvl w:val="0"/>
          <w:numId w:val="4"/>
        </w:numPr>
        <w:tabs>
          <w:tab w:val="left" w:pos="284"/>
        </w:tabs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E1E99">
        <w:rPr>
          <w:rFonts w:ascii="Calibri" w:hAnsi="Calibri" w:cs="Calibri"/>
          <w:sz w:val="20"/>
          <w:szCs w:val="20"/>
        </w:rPr>
        <w:t xml:space="preserve"> zamiast: http://power.parp.gov.pl/harmonogram/harmonogram-naborow-na-2017-rok, </w:t>
      </w:r>
    </w:p>
    <w:p w:rsidR="005E1E99" w:rsidRPr="005E1E99" w:rsidRDefault="005E1E99" w:rsidP="0032571F">
      <w:pPr>
        <w:pStyle w:val="Default"/>
        <w:numPr>
          <w:ilvl w:val="0"/>
          <w:numId w:val="4"/>
        </w:numPr>
        <w:tabs>
          <w:tab w:val="left" w:pos="284"/>
        </w:tabs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E1E99">
        <w:rPr>
          <w:rFonts w:ascii="Calibri" w:hAnsi="Calibri" w:cs="Calibri"/>
          <w:sz w:val="20"/>
          <w:szCs w:val="20"/>
        </w:rPr>
        <w:t xml:space="preserve"> napisz: Terminy naborów. </w:t>
      </w:r>
    </w:p>
    <w:p w:rsidR="005E1E99" w:rsidRPr="005E1E99" w:rsidRDefault="005E1E99" w:rsidP="005E1E99">
      <w:pPr>
        <w:pStyle w:val="Default"/>
        <w:tabs>
          <w:tab w:val="left" w:pos="284"/>
        </w:tabs>
        <w:ind w:left="284"/>
        <w:jc w:val="both"/>
        <w:rPr>
          <w:rFonts w:ascii="Calibri" w:hAnsi="Calibri" w:cs="Calibri"/>
          <w:sz w:val="20"/>
          <w:szCs w:val="20"/>
        </w:rPr>
      </w:pPr>
    </w:p>
    <w:p w:rsidR="005E1E99" w:rsidRPr="005E1E99" w:rsidRDefault="005E1E99" w:rsidP="005E1E99">
      <w:pPr>
        <w:pStyle w:val="Default"/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rFonts w:ascii="Calibri" w:hAnsi="Calibri" w:cs="Calibri"/>
          <w:b/>
          <w:sz w:val="20"/>
          <w:szCs w:val="20"/>
        </w:rPr>
      </w:pPr>
      <w:r w:rsidRPr="005E1E99">
        <w:rPr>
          <w:rFonts w:ascii="Calibri" w:hAnsi="Calibri" w:cs="Calibri"/>
          <w:b/>
          <w:sz w:val="20"/>
          <w:szCs w:val="20"/>
        </w:rPr>
        <w:t xml:space="preserve">Listy elementów – numeracja i </w:t>
      </w:r>
      <w:proofErr w:type="spellStart"/>
      <w:r w:rsidRPr="005E1E99">
        <w:rPr>
          <w:rFonts w:ascii="Calibri" w:hAnsi="Calibri" w:cs="Calibri"/>
          <w:b/>
          <w:sz w:val="20"/>
          <w:szCs w:val="20"/>
        </w:rPr>
        <w:t>punktory</w:t>
      </w:r>
      <w:proofErr w:type="spellEnd"/>
      <w:r w:rsidRPr="005E1E99">
        <w:rPr>
          <w:rFonts w:ascii="Calibri" w:hAnsi="Calibri" w:cs="Calibri"/>
          <w:b/>
          <w:sz w:val="20"/>
          <w:szCs w:val="20"/>
        </w:rPr>
        <w:t xml:space="preserve">: </w:t>
      </w:r>
    </w:p>
    <w:p w:rsidR="005E1E99" w:rsidRDefault="005E1E99" w:rsidP="0032571F">
      <w:pPr>
        <w:pStyle w:val="Default"/>
        <w:numPr>
          <w:ilvl w:val="0"/>
          <w:numId w:val="4"/>
        </w:numPr>
        <w:tabs>
          <w:tab w:val="left" w:pos="284"/>
        </w:tabs>
        <w:ind w:left="284" w:firstLine="0"/>
        <w:rPr>
          <w:rFonts w:ascii="Calibri" w:hAnsi="Calibri" w:cs="Calibri"/>
          <w:sz w:val="20"/>
          <w:szCs w:val="20"/>
        </w:rPr>
      </w:pPr>
      <w:r w:rsidRPr="005E1E99">
        <w:rPr>
          <w:rFonts w:ascii="Calibri" w:hAnsi="Calibri" w:cs="Calibri"/>
          <w:sz w:val="20"/>
          <w:szCs w:val="20"/>
        </w:rPr>
        <w:t>przy wymienianiu używane w sytuacji wymieniania w tekści</w:t>
      </w:r>
      <w:r>
        <w:rPr>
          <w:rFonts w:ascii="Calibri" w:hAnsi="Calibri" w:cs="Calibri"/>
          <w:sz w:val="20"/>
          <w:szCs w:val="20"/>
        </w:rPr>
        <w:t>e powiązanych ze sobą elementów,</w:t>
      </w:r>
    </w:p>
    <w:p w:rsidR="005E1E99" w:rsidRDefault="005E1E99" w:rsidP="0032571F">
      <w:pPr>
        <w:pStyle w:val="Default"/>
        <w:numPr>
          <w:ilvl w:val="0"/>
          <w:numId w:val="4"/>
        </w:numPr>
        <w:tabs>
          <w:tab w:val="left" w:pos="284"/>
        </w:tabs>
        <w:ind w:left="284" w:firstLine="0"/>
        <w:rPr>
          <w:rFonts w:ascii="Calibri" w:hAnsi="Calibri" w:cs="Calibri"/>
          <w:sz w:val="20"/>
          <w:szCs w:val="20"/>
        </w:rPr>
      </w:pPr>
      <w:r w:rsidRPr="005E1E99">
        <w:rPr>
          <w:rFonts w:ascii="Calibri" w:hAnsi="Calibri" w:cs="Calibri"/>
          <w:sz w:val="20"/>
          <w:szCs w:val="20"/>
        </w:rPr>
        <w:t>ich zastosowanie ułatwia osobie z niepełnosprawn</w:t>
      </w:r>
      <w:r>
        <w:rPr>
          <w:rFonts w:ascii="Calibri" w:hAnsi="Calibri" w:cs="Calibri"/>
          <w:sz w:val="20"/>
          <w:szCs w:val="20"/>
        </w:rPr>
        <w:t>ością nawigowanie po dokumencie,</w:t>
      </w:r>
    </w:p>
    <w:p w:rsidR="005E1E99" w:rsidRPr="005E1E99" w:rsidRDefault="005E1E99" w:rsidP="0032571F">
      <w:pPr>
        <w:pStyle w:val="Default"/>
        <w:numPr>
          <w:ilvl w:val="0"/>
          <w:numId w:val="4"/>
        </w:numPr>
        <w:tabs>
          <w:tab w:val="left" w:pos="284"/>
        </w:tabs>
        <w:ind w:left="284" w:firstLine="0"/>
        <w:rPr>
          <w:rFonts w:ascii="Calibri" w:hAnsi="Calibri" w:cs="Calibri"/>
          <w:sz w:val="20"/>
          <w:szCs w:val="20"/>
        </w:rPr>
      </w:pPr>
      <w:r w:rsidRPr="005E1E99">
        <w:rPr>
          <w:rFonts w:ascii="Calibri" w:hAnsi="Calibri" w:cs="Calibri"/>
          <w:sz w:val="20"/>
          <w:szCs w:val="20"/>
        </w:rPr>
        <w:lastRenderedPageBreak/>
        <w:t xml:space="preserve">symbol </w:t>
      </w:r>
      <w:proofErr w:type="spellStart"/>
      <w:r w:rsidRPr="005E1E99">
        <w:rPr>
          <w:rFonts w:ascii="Calibri" w:hAnsi="Calibri" w:cs="Calibri"/>
          <w:sz w:val="20"/>
          <w:szCs w:val="20"/>
        </w:rPr>
        <w:t>punktora</w:t>
      </w:r>
      <w:proofErr w:type="spellEnd"/>
      <w:r w:rsidRPr="005E1E99">
        <w:rPr>
          <w:rFonts w:ascii="Calibri" w:hAnsi="Calibri" w:cs="Calibri"/>
          <w:sz w:val="20"/>
          <w:szCs w:val="20"/>
        </w:rPr>
        <w:t xml:space="preserve"> lub liczba oznaczająca element listy powinna być wysunięta na lewo względem tekstu, dzięki temu elementy listy będą łatwo zauważalne. </w:t>
      </w:r>
    </w:p>
    <w:p w:rsidR="002E4A4F" w:rsidRDefault="005E1E99" w:rsidP="002E4A4F">
      <w:pPr>
        <w:pStyle w:val="Default"/>
        <w:numPr>
          <w:ilvl w:val="0"/>
          <w:numId w:val="2"/>
        </w:numPr>
        <w:tabs>
          <w:tab w:val="left" w:pos="284"/>
        </w:tabs>
        <w:ind w:left="284" w:firstLine="0"/>
        <w:rPr>
          <w:rFonts w:ascii="Calibri" w:hAnsi="Calibri" w:cs="Calibri"/>
          <w:sz w:val="20"/>
          <w:szCs w:val="20"/>
        </w:rPr>
      </w:pPr>
      <w:r w:rsidRPr="005E1E99">
        <w:rPr>
          <w:rFonts w:ascii="Calibri" w:hAnsi="Calibri" w:cs="Calibri"/>
          <w:b/>
          <w:sz w:val="20"/>
          <w:szCs w:val="20"/>
        </w:rPr>
        <w:t xml:space="preserve">Kontrast </w:t>
      </w:r>
      <w:r w:rsidRPr="005E1E99">
        <w:rPr>
          <w:rFonts w:ascii="Calibri" w:hAnsi="Calibri" w:cs="Calibri"/>
          <w:sz w:val="20"/>
          <w:szCs w:val="20"/>
        </w:rPr>
        <w:t xml:space="preserve">pomiędzy tłem a tekstem jest wystarczający, na przykład czarny tekst na białym tle, niebieski tekst na białym tle, niebieski tekst na żółtym tle, czarny tekst na żółtym tle, biały tekst na niebieskim tle </w:t>
      </w:r>
      <w:r w:rsidR="0032571F">
        <w:rPr>
          <w:rFonts w:ascii="Calibri" w:hAnsi="Calibri" w:cs="Calibri"/>
          <w:sz w:val="20"/>
          <w:szCs w:val="20"/>
        </w:rPr>
        <w:t>.</w:t>
      </w:r>
    </w:p>
    <w:p w:rsidR="005E1E99" w:rsidRPr="002E4A4F" w:rsidRDefault="005E1E99" w:rsidP="002E4A4F">
      <w:pPr>
        <w:pStyle w:val="Default"/>
        <w:numPr>
          <w:ilvl w:val="0"/>
          <w:numId w:val="2"/>
        </w:numPr>
        <w:tabs>
          <w:tab w:val="left" w:pos="284"/>
        </w:tabs>
        <w:ind w:left="284" w:firstLine="0"/>
        <w:rPr>
          <w:rFonts w:ascii="Calibri" w:hAnsi="Calibri" w:cs="Calibri"/>
          <w:sz w:val="20"/>
          <w:szCs w:val="20"/>
        </w:rPr>
      </w:pPr>
      <w:r w:rsidRPr="002E4A4F">
        <w:rPr>
          <w:rFonts w:ascii="Calibri" w:hAnsi="Calibri" w:cs="Calibri"/>
          <w:b/>
          <w:sz w:val="20"/>
          <w:szCs w:val="20"/>
        </w:rPr>
        <w:t>Tabele</w:t>
      </w:r>
    </w:p>
    <w:p w:rsidR="005E1E99" w:rsidRPr="005E1E99" w:rsidRDefault="005E1E99" w:rsidP="0032571F">
      <w:pPr>
        <w:pStyle w:val="Default"/>
        <w:numPr>
          <w:ilvl w:val="0"/>
          <w:numId w:val="5"/>
        </w:numPr>
        <w:tabs>
          <w:tab w:val="left" w:pos="284"/>
        </w:tabs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E1E99">
        <w:rPr>
          <w:rFonts w:ascii="Calibri" w:hAnsi="Calibri" w:cs="Calibri"/>
          <w:sz w:val="20"/>
          <w:szCs w:val="20"/>
        </w:rPr>
        <w:t xml:space="preserve">określa się wiersz nagłówków tabeli – zdefiniowanie wiersza nagłówków pozwala osobom niewidomym korzystającym z czytnika ekranu zrozumieć znaczenie treści odczytywanych komórek tabeli </w:t>
      </w:r>
    </w:p>
    <w:p w:rsidR="005E1E99" w:rsidRPr="005E1E99" w:rsidRDefault="005E1E99" w:rsidP="0032571F">
      <w:pPr>
        <w:pStyle w:val="Default"/>
        <w:numPr>
          <w:ilvl w:val="0"/>
          <w:numId w:val="5"/>
        </w:numPr>
        <w:tabs>
          <w:tab w:val="left" w:pos="284"/>
        </w:tabs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E1E99">
        <w:rPr>
          <w:rFonts w:ascii="Calibri" w:hAnsi="Calibri" w:cs="Calibri"/>
          <w:sz w:val="20"/>
          <w:szCs w:val="20"/>
        </w:rPr>
        <w:t xml:space="preserve">używa się funkcji „Powtórz wiersz nagłówka na nowych stronach” – w sytuacji, gdy tabela będzie zajmowała więcej niż jedną stronę dokumentu, wiersz nagłówka automatycznie zostanie powtórzony na kolejnych stronach </w:t>
      </w:r>
    </w:p>
    <w:p w:rsidR="005E1E99" w:rsidRPr="005E1E99" w:rsidRDefault="005E1E99" w:rsidP="0032571F">
      <w:pPr>
        <w:pStyle w:val="Default"/>
        <w:numPr>
          <w:ilvl w:val="0"/>
          <w:numId w:val="5"/>
        </w:numPr>
        <w:tabs>
          <w:tab w:val="left" w:pos="284"/>
        </w:tabs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E1E99">
        <w:rPr>
          <w:rFonts w:ascii="Calibri" w:hAnsi="Calibri" w:cs="Calibri"/>
          <w:sz w:val="20"/>
          <w:szCs w:val="20"/>
        </w:rPr>
        <w:t xml:space="preserve">linie siatki są widoczne, co pozwala wizualnie rozpoznawać wiersze i kolumny, </w:t>
      </w:r>
    </w:p>
    <w:p w:rsidR="005E1E99" w:rsidRPr="005E1E99" w:rsidRDefault="005E1E99" w:rsidP="0032571F">
      <w:pPr>
        <w:pStyle w:val="Default"/>
        <w:numPr>
          <w:ilvl w:val="0"/>
          <w:numId w:val="5"/>
        </w:numPr>
        <w:tabs>
          <w:tab w:val="left" w:pos="284"/>
        </w:tabs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E1E99">
        <w:rPr>
          <w:rFonts w:ascii="Calibri" w:hAnsi="Calibri" w:cs="Calibri"/>
          <w:sz w:val="20"/>
          <w:szCs w:val="20"/>
        </w:rPr>
        <w:t xml:space="preserve">wyrównując tekst w kolumnach należy wyrównywać do lewej </w:t>
      </w:r>
    </w:p>
    <w:p w:rsidR="0032571F" w:rsidRDefault="005E1E99" w:rsidP="0032571F">
      <w:pPr>
        <w:pStyle w:val="Default"/>
        <w:numPr>
          <w:ilvl w:val="0"/>
          <w:numId w:val="5"/>
        </w:numPr>
        <w:tabs>
          <w:tab w:val="left" w:pos="284"/>
        </w:tabs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E1E99">
        <w:rPr>
          <w:rFonts w:ascii="Calibri" w:hAnsi="Calibri" w:cs="Calibri"/>
          <w:sz w:val="20"/>
          <w:szCs w:val="20"/>
        </w:rPr>
        <w:t xml:space="preserve">dane liczbowe wyrównuje się do prawej lub do przecinka dziesiętnego. </w:t>
      </w:r>
    </w:p>
    <w:p w:rsidR="005E1E99" w:rsidRPr="0032571F" w:rsidRDefault="005E1E99" w:rsidP="0032571F">
      <w:pPr>
        <w:pStyle w:val="Default"/>
        <w:numPr>
          <w:ilvl w:val="0"/>
          <w:numId w:val="5"/>
        </w:numPr>
        <w:tabs>
          <w:tab w:val="left" w:pos="284"/>
        </w:tabs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32571F">
        <w:rPr>
          <w:rFonts w:ascii="Calibri" w:hAnsi="Calibri" w:cs="Calibri"/>
          <w:sz w:val="20"/>
          <w:szCs w:val="20"/>
        </w:rPr>
        <w:t xml:space="preserve">Tam, gdzie to możliwe powinno się unikać pisania kolorowym drukiem, kursywą, stosowania podkreśleń, pisania całych słów/zdań WIELKIMI LITERAMI. </w:t>
      </w:r>
    </w:p>
    <w:p w:rsidR="005E1E99" w:rsidRPr="005E1E99" w:rsidRDefault="005E1E99" w:rsidP="005E1E99">
      <w:pPr>
        <w:pStyle w:val="Default"/>
        <w:numPr>
          <w:ilvl w:val="0"/>
          <w:numId w:val="5"/>
        </w:numPr>
        <w:tabs>
          <w:tab w:val="left" w:pos="284"/>
        </w:tabs>
        <w:spacing w:after="27"/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E1E99">
        <w:rPr>
          <w:rFonts w:ascii="Calibri" w:hAnsi="Calibri" w:cs="Calibri"/>
          <w:sz w:val="20"/>
          <w:szCs w:val="20"/>
        </w:rPr>
        <w:t xml:space="preserve">W przypadku potrzeby zaznaczenia w tekście istotnej informacji, proponowane jest zastosowanie pogrubienia, w celu zwiększenia widoczności ważnego fragmentu. </w:t>
      </w:r>
    </w:p>
    <w:p w:rsidR="005E1E99" w:rsidRDefault="005E1E99" w:rsidP="005E1E99">
      <w:pPr>
        <w:pStyle w:val="Default"/>
        <w:numPr>
          <w:ilvl w:val="0"/>
          <w:numId w:val="5"/>
        </w:numPr>
        <w:tabs>
          <w:tab w:val="left" w:pos="284"/>
        </w:tabs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E1E99">
        <w:rPr>
          <w:rFonts w:ascii="Calibri" w:hAnsi="Calibri" w:cs="Calibri"/>
          <w:sz w:val="20"/>
          <w:szCs w:val="20"/>
        </w:rPr>
        <w:t>Należy pamiętać o wypełnieniu metadanych (tytuł dokumentu, autor (na przykład osoba i instytucja, słowa kluczowe). Można to zrobić w zakład</w:t>
      </w:r>
      <w:r>
        <w:rPr>
          <w:rFonts w:ascii="Calibri" w:hAnsi="Calibri" w:cs="Calibri"/>
          <w:sz w:val="20"/>
          <w:szCs w:val="20"/>
        </w:rPr>
        <w:t>ce „Plik”, w dziale „Informacje</w:t>
      </w:r>
    </w:p>
    <w:p w:rsidR="005E1E99" w:rsidRPr="005E1E99" w:rsidRDefault="005E1E99" w:rsidP="005E1E99">
      <w:pPr>
        <w:pStyle w:val="Default"/>
        <w:tabs>
          <w:tab w:val="left" w:pos="284"/>
        </w:tabs>
        <w:ind w:left="284"/>
        <w:rPr>
          <w:rFonts w:ascii="Calibri" w:hAnsi="Calibri" w:cs="Calibri"/>
          <w:sz w:val="20"/>
          <w:szCs w:val="20"/>
        </w:rPr>
      </w:pPr>
    </w:p>
    <w:p w:rsidR="005E1E99" w:rsidRPr="005E1E99" w:rsidRDefault="005E1E99" w:rsidP="005E1E99">
      <w:pPr>
        <w:pStyle w:val="Default"/>
        <w:tabs>
          <w:tab w:val="left" w:pos="284"/>
        </w:tabs>
        <w:ind w:left="284"/>
        <w:rPr>
          <w:rFonts w:ascii="Calibri" w:hAnsi="Calibri" w:cs="Calibri"/>
          <w:b/>
          <w:bCs/>
          <w:iCs/>
          <w:sz w:val="20"/>
          <w:szCs w:val="20"/>
        </w:rPr>
      </w:pPr>
      <w:r w:rsidRPr="005E1E99">
        <w:rPr>
          <w:rFonts w:ascii="Calibri" w:hAnsi="Calibri" w:cs="Calibri"/>
          <w:b/>
          <w:bCs/>
          <w:iCs/>
          <w:sz w:val="20"/>
          <w:szCs w:val="20"/>
        </w:rPr>
        <w:t>II. Informacja elektroniczna</w:t>
      </w:r>
    </w:p>
    <w:p w:rsidR="005E1E99" w:rsidRDefault="005E1E99" w:rsidP="005E1E99">
      <w:pPr>
        <w:pStyle w:val="Default"/>
        <w:numPr>
          <w:ilvl w:val="0"/>
          <w:numId w:val="6"/>
        </w:numPr>
        <w:tabs>
          <w:tab w:val="left" w:pos="284"/>
        </w:tabs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E1E99">
        <w:rPr>
          <w:rFonts w:ascii="Calibri" w:hAnsi="Calibri" w:cs="Calibri"/>
          <w:sz w:val="20"/>
          <w:szCs w:val="20"/>
        </w:rPr>
        <w:t>PDF tworzy się w sposób zapewniający dostęp do warstwy tekstowej dokumentu oraz informacji o strukturze dokumentu w celu zastosowania tech</w:t>
      </w:r>
      <w:r>
        <w:rPr>
          <w:rFonts w:ascii="Calibri" w:hAnsi="Calibri" w:cs="Calibri"/>
          <w:sz w:val="20"/>
          <w:szCs w:val="20"/>
        </w:rPr>
        <w:t>nologii asystujących.</w:t>
      </w:r>
      <w:r w:rsidRPr="005E1E99">
        <w:rPr>
          <w:rFonts w:ascii="Calibri" w:hAnsi="Calibri" w:cs="Calibri"/>
          <w:sz w:val="20"/>
          <w:szCs w:val="20"/>
        </w:rPr>
        <w:t xml:space="preserve">  W przypadku skanowania dokumentu tekstowego do pliku PDF należy pamiętać, aby wybrać opcję skanowania z możliwością przeszukiwania tekstu. Jeżeli skaner nie posiada takiej funkcji, utworzony plik PDF będzie niedostępny dl</w:t>
      </w:r>
      <w:r>
        <w:rPr>
          <w:rFonts w:ascii="Calibri" w:hAnsi="Calibri" w:cs="Calibri"/>
          <w:sz w:val="20"/>
          <w:szCs w:val="20"/>
        </w:rPr>
        <w:t xml:space="preserve">a osób </w:t>
      </w:r>
      <w:r w:rsidRPr="005E1E99">
        <w:rPr>
          <w:rFonts w:ascii="Calibri" w:hAnsi="Calibri" w:cs="Calibri"/>
          <w:sz w:val="20"/>
          <w:szCs w:val="20"/>
        </w:rPr>
        <w:t xml:space="preserve">  z niepełnosprawnościami. W takim wypadku należy użyć oprogramowania do OCR czyli rozpoznania druku i (po korekcie) zapisania go do pliku tekstowego. </w:t>
      </w:r>
    </w:p>
    <w:p w:rsidR="005E1E99" w:rsidRPr="005E1E99" w:rsidRDefault="005E1E99" w:rsidP="005E1E99">
      <w:pPr>
        <w:pStyle w:val="Default"/>
        <w:numPr>
          <w:ilvl w:val="0"/>
          <w:numId w:val="6"/>
        </w:numPr>
        <w:tabs>
          <w:tab w:val="left" w:pos="284"/>
        </w:tabs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E1E99">
        <w:rPr>
          <w:rFonts w:ascii="Calibri" w:hAnsi="Calibri" w:cs="Calibri"/>
          <w:sz w:val="20"/>
          <w:szCs w:val="20"/>
        </w:rPr>
        <w:t xml:space="preserve">Przy tworzeniu dokumentu typu PDF na przykład z dokumentów MS Word lub MS Excel należy wywołać polecenie </w:t>
      </w:r>
      <w:r w:rsidRPr="005E1E99">
        <w:rPr>
          <w:rFonts w:ascii="Calibri" w:hAnsi="Calibri" w:cs="Calibri"/>
          <w:b/>
          <w:bCs/>
          <w:sz w:val="20"/>
          <w:szCs w:val="20"/>
        </w:rPr>
        <w:t xml:space="preserve">Zapisz jako </w:t>
      </w:r>
      <w:r w:rsidRPr="005E1E99">
        <w:rPr>
          <w:rFonts w:ascii="Calibri" w:hAnsi="Calibri" w:cs="Calibri"/>
          <w:sz w:val="20"/>
          <w:szCs w:val="20"/>
        </w:rPr>
        <w:t>następnie w polu Z</w:t>
      </w:r>
      <w:r w:rsidRPr="005E1E99">
        <w:rPr>
          <w:rFonts w:ascii="Calibri" w:hAnsi="Calibri" w:cs="Calibri"/>
          <w:b/>
          <w:bCs/>
          <w:sz w:val="20"/>
          <w:szCs w:val="20"/>
        </w:rPr>
        <w:t xml:space="preserve">apisz jako typ </w:t>
      </w:r>
      <w:r w:rsidRPr="005E1E99">
        <w:rPr>
          <w:rFonts w:ascii="Calibri" w:hAnsi="Calibri" w:cs="Calibri"/>
          <w:sz w:val="20"/>
          <w:szCs w:val="20"/>
        </w:rPr>
        <w:t xml:space="preserve">wybrać opcję PDF i po naciśnięciu przycisku </w:t>
      </w:r>
      <w:r w:rsidRPr="005E1E99">
        <w:rPr>
          <w:rFonts w:ascii="Calibri" w:hAnsi="Calibri" w:cs="Calibri"/>
          <w:b/>
          <w:bCs/>
          <w:sz w:val="20"/>
          <w:szCs w:val="20"/>
        </w:rPr>
        <w:t xml:space="preserve">Opcje </w:t>
      </w:r>
      <w:r w:rsidRPr="005E1E99">
        <w:rPr>
          <w:rFonts w:ascii="Calibri" w:hAnsi="Calibri" w:cs="Calibri"/>
          <w:sz w:val="20"/>
          <w:szCs w:val="20"/>
        </w:rPr>
        <w:t xml:space="preserve">zaznacza się </w:t>
      </w:r>
      <w:proofErr w:type="spellStart"/>
      <w:r w:rsidRPr="005E1E99">
        <w:rPr>
          <w:rFonts w:ascii="Calibri" w:hAnsi="Calibri" w:cs="Calibri"/>
          <w:sz w:val="20"/>
          <w:szCs w:val="20"/>
        </w:rPr>
        <w:t>checkbox</w:t>
      </w:r>
      <w:proofErr w:type="spellEnd"/>
      <w:r w:rsidRPr="005E1E9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E1E99">
        <w:rPr>
          <w:rFonts w:ascii="Calibri" w:hAnsi="Calibri" w:cs="Calibri"/>
          <w:b/>
          <w:bCs/>
          <w:color w:val="2E2E2E"/>
          <w:sz w:val="20"/>
          <w:szCs w:val="20"/>
        </w:rPr>
        <w:t>Tagi</w:t>
      </w:r>
      <w:proofErr w:type="spellEnd"/>
      <w:r w:rsidRPr="005E1E99">
        <w:rPr>
          <w:rFonts w:ascii="Calibri" w:hAnsi="Calibri" w:cs="Calibri"/>
          <w:b/>
          <w:bCs/>
          <w:color w:val="2E2E2E"/>
          <w:sz w:val="20"/>
          <w:szCs w:val="20"/>
        </w:rPr>
        <w:t xml:space="preserve"> struktury dla ułatwień dostępu </w:t>
      </w:r>
      <w:r w:rsidRPr="005E1E99">
        <w:rPr>
          <w:rFonts w:ascii="Calibri" w:hAnsi="Calibri" w:cs="Calibri"/>
          <w:color w:val="2E2E2E"/>
          <w:sz w:val="20"/>
          <w:szCs w:val="20"/>
        </w:rPr>
        <w:t xml:space="preserve">oraz </w:t>
      </w:r>
      <w:proofErr w:type="spellStart"/>
      <w:r w:rsidRPr="005E1E99">
        <w:rPr>
          <w:rFonts w:ascii="Calibri" w:hAnsi="Calibri" w:cs="Calibri"/>
          <w:color w:val="2E2E2E"/>
          <w:sz w:val="20"/>
          <w:szCs w:val="20"/>
        </w:rPr>
        <w:t>checkbox</w:t>
      </w:r>
      <w:proofErr w:type="spellEnd"/>
      <w:r w:rsidRPr="005E1E99">
        <w:rPr>
          <w:rFonts w:ascii="Calibri" w:hAnsi="Calibri" w:cs="Calibri"/>
          <w:color w:val="2E2E2E"/>
          <w:sz w:val="20"/>
          <w:szCs w:val="20"/>
        </w:rPr>
        <w:t xml:space="preserve"> </w:t>
      </w:r>
      <w:r w:rsidRPr="005E1E99">
        <w:rPr>
          <w:rFonts w:ascii="Calibri" w:hAnsi="Calibri" w:cs="Calibri"/>
          <w:b/>
          <w:bCs/>
          <w:color w:val="2E2E2E"/>
          <w:sz w:val="20"/>
          <w:szCs w:val="20"/>
        </w:rPr>
        <w:t>Właściwości dokumentu</w:t>
      </w:r>
      <w:r>
        <w:rPr>
          <w:rFonts w:ascii="Calibri" w:hAnsi="Calibri" w:cs="Calibri"/>
          <w:color w:val="2E2E2E"/>
          <w:sz w:val="20"/>
          <w:szCs w:val="20"/>
        </w:rPr>
        <w:t>.</w:t>
      </w:r>
    </w:p>
    <w:p w:rsidR="005E1E99" w:rsidRPr="005E1E99" w:rsidRDefault="005E1E99" w:rsidP="005E1E99">
      <w:pPr>
        <w:pStyle w:val="Default"/>
        <w:numPr>
          <w:ilvl w:val="0"/>
          <w:numId w:val="6"/>
        </w:numPr>
        <w:tabs>
          <w:tab w:val="left" w:pos="284"/>
        </w:tabs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5E1E99">
        <w:rPr>
          <w:rFonts w:ascii="Calibri" w:hAnsi="Calibri" w:cs="Calibri"/>
          <w:color w:val="2E2E2E"/>
          <w:sz w:val="20"/>
          <w:szCs w:val="20"/>
        </w:rPr>
        <w:t xml:space="preserve">Podczas wysyłania zeskanowywanego dokumentu (na przykład gdy istnieje konieczność odwzorowania elektronicznie dokumentu tradycyjnego), dołączany jest również dokument w formacie pozwalającym na dostęp do warstwy tekstowej na przykład RTF, ODT, DOCX, DOC, dostępny dokument w formacie PDF. </w:t>
      </w:r>
    </w:p>
    <w:p w:rsidR="005E1E99" w:rsidRPr="005E1E99" w:rsidRDefault="005E1E99" w:rsidP="005E1E99">
      <w:pPr>
        <w:pStyle w:val="Default"/>
        <w:tabs>
          <w:tab w:val="left" w:pos="284"/>
        </w:tabs>
        <w:ind w:left="284"/>
        <w:jc w:val="both"/>
        <w:rPr>
          <w:rFonts w:ascii="Calibri" w:hAnsi="Calibri" w:cs="Calibri"/>
          <w:sz w:val="20"/>
          <w:szCs w:val="20"/>
        </w:rPr>
      </w:pPr>
    </w:p>
    <w:p w:rsidR="005E1E99" w:rsidRPr="005E1E99" w:rsidRDefault="005E1E99" w:rsidP="005E1E99">
      <w:pPr>
        <w:pStyle w:val="Default"/>
        <w:tabs>
          <w:tab w:val="left" w:pos="284"/>
        </w:tabs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5E1E99">
        <w:rPr>
          <w:rFonts w:ascii="Calibri" w:hAnsi="Calibri" w:cs="Calibri"/>
          <w:b/>
          <w:sz w:val="20"/>
          <w:szCs w:val="20"/>
        </w:rPr>
        <w:t>III. Multimedia</w:t>
      </w:r>
    </w:p>
    <w:p w:rsidR="005E1E99" w:rsidRDefault="005E1E99" w:rsidP="005E1E99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5E1E99">
        <w:rPr>
          <w:rFonts w:ascii="Calibri" w:hAnsi="Calibri" w:cs="Calibri"/>
          <w:color w:val="000000"/>
          <w:sz w:val="20"/>
          <w:szCs w:val="20"/>
        </w:rPr>
        <w:t>Każde nagranie dźwiękowe zawierające wypowiedzi słowne, za wyjątkiem śpiewu, należy uzupełnić o transkrypcję tekstową. Transkrypcja tekstowa to dokument zawierający wszystkie wypowiedzi z nagrania</w:t>
      </w:r>
      <w:r w:rsidRPr="005E1E99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5E1E99" w:rsidRPr="005E1E99" w:rsidRDefault="005E1E99" w:rsidP="005E1E99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5E1E99">
        <w:rPr>
          <w:rFonts w:ascii="Calibri" w:hAnsi="Calibri" w:cs="Calibri"/>
          <w:color w:val="000000"/>
          <w:sz w:val="20"/>
          <w:szCs w:val="20"/>
        </w:rPr>
        <w:t xml:space="preserve">W nagraniach i transmisjach na żywo zawierających zarówno dźwięk, jak i obraz, zapewnia się napisy rozszerzone. O ile to możliwe, należy stosować napisy zamknięte, to znaczy takie, które mogą być włączone i wyłączone przez użytkownika. Napisy rozszerzone powinny spełniać przynajmniej następujące wymagania: </w:t>
      </w:r>
    </w:p>
    <w:p w:rsidR="005E1E99" w:rsidRPr="005E1E99" w:rsidRDefault="005E1E99" w:rsidP="005E1E99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198" w:line="240" w:lineRule="auto"/>
        <w:ind w:left="284" w:firstLine="0"/>
        <w:jc w:val="both"/>
        <w:rPr>
          <w:rFonts w:ascii="Calibri" w:hAnsi="Calibri" w:cs="Calibri"/>
          <w:color w:val="000000"/>
          <w:sz w:val="20"/>
          <w:szCs w:val="20"/>
        </w:rPr>
      </w:pPr>
      <w:r w:rsidRPr="005E1E99">
        <w:rPr>
          <w:rFonts w:ascii="Calibri" w:hAnsi="Calibri" w:cs="Calibri"/>
          <w:color w:val="000000"/>
          <w:sz w:val="20"/>
          <w:szCs w:val="20"/>
        </w:rPr>
        <w:t xml:space="preserve">napisy umieszcza się w dolnej części ekranu, </w:t>
      </w:r>
    </w:p>
    <w:p w:rsidR="005E1E99" w:rsidRPr="005E1E99" w:rsidRDefault="005E1E99" w:rsidP="005E1E99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198" w:line="240" w:lineRule="auto"/>
        <w:ind w:left="284" w:firstLine="0"/>
        <w:jc w:val="both"/>
        <w:rPr>
          <w:rFonts w:ascii="Calibri" w:hAnsi="Calibri" w:cs="Calibri"/>
          <w:color w:val="000000"/>
          <w:sz w:val="20"/>
          <w:szCs w:val="20"/>
        </w:rPr>
      </w:pPr>
      <w:r w:rsidRPr="005E1E99">
        <w:rPr>
          <w:rFonts w:ascii="Calibri" w:hAnsi="Calibri" w:cs="Calibri"/>
          <w:color w:val="000000"/>
          <w:sz w:val="20"/>
          <w:szCs w:val="20"/>
        </w:rPr>
        <w:t xml:space="preserve">czcionka użyta do napisów powinna być czytelna, najlepiej </w:t>
      </w:r>
      <w:proofErr w:type="spellStart"/>
      <w:r w:rsidRPr="005E1E99">
        <w:rPr>
          <w:rFonts w:ascii="Calibri" w:hAnsi="Calibri" w:cs="Calibri"/>
          <w:color w:val="000000"/>
          <w:sz w:val="20"/>
          <w:szCs w:val="20"/>
        </w:rPr>
        <w:t>bezszeryfowa</w:t>
      </w:r>
      <w:proofErr w:type="spellEnd"/>
      <w:r w:rsidRPr="005E1E99">
        <w:rPr>
          <w:rFonts w:ascii="Calibri" w:hAnsi="Calibri" w:cs="Calibri"/>
          <w:color w:val="000000"/>
          <w:sz w:val="20"/>
          <w:szCs w:val="20"/>
        </w:rPr>
        <w:t xml:space="preserve">, w kolorze białym, </w:t>
      </w:r>
    </w:p>
    <w:p w:rsidR="005E1E99" w:rsidRPr="005E1E99" w:rsidRDefault="005E1E99" w:rsidP="005E1E99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198" w:line="240" w:lineRule="auto"/>
        <w:ind w:left="284" w:firstLine="0"/>
        <w:jc w:val="both"/>
        <w:rPr>
          <w:rFonts w:ascii="Calibri" w:hAnsi="Calibri" w:cs="Calibri"/>
          <w:color w:val="000000"/>
          <w:sz w:val="20"/>
          <w:szCs w:val="20"/>
        </w:rPr>
      </w:pPr>
      <w:r w:rsidRPr="005E1E99">
        <w:rPr>
          <w:rFonts w:ascii="Calibri" w:hAnsi="Calibri" w:cs="Calibri"/>
          <w:color w:val="000000"/>
          <w:sz w:val="20"/>
          <w:szCs w:val="20"/>
        </w:rPr>
        <w:t xml:space="preserve">wiersz napisów nie powinien zawierać więcej niż 40 znaków. Jednocześnie mogą być wyświetlane 2 wiersze tekstu, a jeżeli główny przekaz zawiera się w wypowiedzi, może zawierać 3 wiersze, </w:t>
      </w:r>
    </w:p>
    <w:p w:rsidR="005E1E99" w:rsidRPr="005E1E99" w:rsidRDefault="005E1E99" w:rsidP="005E1E99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198" w:line="240" w:lineRule="auto"/>
        <w:ind w:left="284" w:firstLine="0"/>
        <w:jc w:val="both"/>
        <w:rPr>
          <w:rFonts w:ascii="Calibri" w:hAnsi="Calibri" w:cs="Calibri"/>
          <w:color w:val="000000"/>
          <w:sz w:val="20"/>
          <w:szCs w:val="20"/>
        </w:rPr>
      </w:pPr>
      <w:r w:rsidRPr="005E1E99">
        <w:rPr>
          <w:rFonts w:ascii="Calibri" w:hAnsi="Calibri" w:cs="Calibri"/>
          <w:color w:val="000000"/>
          <w:sz w:val="20"/>
          <w:szCs w:val="20"/>
        </w:rPr>
        <w:t xml:space="preserve">pojedynczy napis wyświetlany jest nie krócej niż 1 sekundę i nie dłużej niż 7 sekund. Czas wyświetlania powinien być dopasowany do długości tekstu i pozwalać na wygodne odczytanie, </w:t>
      </w:r>
    </w:p>
    <w:p w:rsidR="0032571F" w:rsidRDefault="005E1E99" w:rsidP="0032571F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Calibri" w:hAnsi="Calibri" w:cs="Calibri"/>
          <w:color w:val="000000"/>
          <w:sz w:val="20"/>
          <w:szCs w:val="20"/>
        </w:rPr>
      </w:pPr>
      <w:r w:rsidRPr="005E1E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E1E99">
        <w:rPr>
          <w:rFonts w:ascii="Calibri" w:hAnsi="Calibri" w:cs="Calibri"/>
          <w:color w:val="000000"/>
          <w:sz w:val="20"/>
          <w:szCs w:val="20"/>
        </w:rPr>
        <w:t xml:space="preserve">napisy rozszerzone zawierają wszystkie wypowiedzi ustne oraz informacje o dźwiękach istotnych dla zrozumienia treści, </w:t>
      </w:r>
    </w:p>
    <w:p w:rsidR="005E1E99" w:rsidRPr="0032571F" w:rsidRDefault="0032571F" w:rsidP="0032571F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3. </w:t>
      </w:r>
      <w:r w:rsidR="005E1E99" w:rsidRPr="0032571F">
        <w:rPr>
          <w:rFonts w:ascii="Calibri" w:hAnsi="Calibri" w:cs="Calibri"/>
          <w:color w:val="000000"/>
          <w:sz w:val="20"/>
          <w:szCs w:val="20"/>
        </w:rPr>
        <w:t xml:space="preserve">W nagraniach zawierających ruchomy obraz, zapewnia się </w:t>
      </w:r>
      <w:proofErr w:type="spellStart"/>
      <w:r w:rsidR="005E1E99" w:rsidRPr="0032571F">
        <w:rPr>
          <w:rFonts w:ascii="Calibri" w:hAnsi="Calibri" w:cs="Calibri"/>
          <w:color w:val="000000"/>
          <w:sz w:val="20"/>
          <w:szCs w:val="20"/>
        </w:rPr>
        <w:t>audiodeskrypcję</w:t>
      </w:r>
      <w:proofErr w:type="spellEnd"/>
      <w:r w:rsidR="005E1E99" w:rsidRPr="0032571F">
        <w:rPr>
          <w:rFonts w:ascii="Calibri" w:hAnsi="Calibri" w:cs="Calibri"/>
          <w:color w:val="000000"/>
          <w:sz w:val="20"/>
          <w:szCs w:val="20"/>
        </w:rPr>
        <w:t xml:space="preserve">. Nie ma potrzeby zapewnienia </w:t>
      </w:r>
      <w:proofErr w:type="spellStart"/>
      <w:r w:rsidR="005E1E99" w:rsidRPr="0032571F">
        <w:rPr>
          <w:rFonts w:ascii="Calibri" w:hAnsi="Calibri" w:cs="Calibri"/>
          <w:color w:val="000000"/>
          <w:sz w:val="20"/>
          <w:szCs w:val="20"/>
        </w:rPr>
        <w:t>audiodeskrypcji</w:t>
      </w:r>
      <w:proofErr w:type="spellEnd"/>
      <w:r w:rsidR="005E1E99" w:rsidRPr="0032571F">
        <w:rPr>
          <w:rFonts w:ascii="Calibri" w:hAnsi="Calibri" w:cs="Calibri"/>
          <w:color w:val="000000"/>
          <w:sz w:val="20"/>
          <w:szCs w:val="20"/>
        </w:rPr>
        <w:t xml:space="preserve">, gdy wszystkie informacje niezbędne do zrozumienia treści wizualnej można uzyskać ze ścieżki dźwiękowej. </w:t>
      </w:r>
      <w:proofErr w:type="spellStart"/>
      <w:r w:rsidR="005E1E99" w:rsidRPr="0032571F">
        <w:rPr>
          <w:rFonts w:ascii="Calibri" w:hAnsi="Calibri" w:cs="Calibri"/>
          <w:color w:val="000000"/>
          <w:sz w:val="20"/>
          <w:szCs w:val="20"/>
        </w:rPr>
        <w:t>Audiodeskrypcja</w:t>
      </w:r>
      <w:proofErr w:type="spellEnd"/>
      <w:r w:rsidR="005E1E99" w:rsidRPr="0032571F">
        <w:rPr>
          <w:rFonts w:ascii="Calibri" w:hAnsi="Calibri" w:cs="Calibri"/>
          <w:color w:val="000000"/>
          <w:sz w:val="20"/>
          <w:szCs w:val="20"/>
        </w:rPr>
        <w:t xml:space="preserve"> powinna spełniać przynajmniej następujące wymagania: </w:t>
      </w:r>
    </w:p>
    <w:p w:rsidR="005E1E99" w:rsidRPr="005E1E99" w:rsidRDefault="005E1E99" w:rsidP="005E1E99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196" w:line="240" w:lineRule="auto"/>
        <w:ind w:left="284" w:firstLine="0"/>
        <w:jc w:val="both"/>
        <w:rPr>
          <w:rFonts w:ascii="Calibri" w:hAnsi="Calibri" w:cs="Calibri"/>
          <w:color w:val="000000"/>
          <w:sz w:val="20"/>
          <w:szCs w:val="20"/>
        </w:rPr>
      </w:pPr>
      <w:r w:rsidRPr="005E1E99">
        <w:rPr>
          <w:rFonts w:ascii="Calibri" w:hAnsi="Calibri" w:cs="Calibri"/>
          <w:color w:val="000000"/>
          <w:sz w:val="20"/>
          <w:szCs w:val="20"/>
        </w:rPr>
        <w:t xml:space="preserve">lektor opisuje to, co widać, bez interpretacji, chyba że okaże się to niezbędne dla zrozumienia treści, </w:t>
      </w:r>
    </w:p>
    <w:p w:rsidR="005E1E99" w:rsidRPr="005E1E99" w:rsidRDefault="005E1E99" w:rsidP="005E1E99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196" w:line="240" w:lineRule="auto"/>
        <w:ind w:left="284" w:firstLine="0"/>
        <w:jc w:val="both"/>
        <w:rPr>
          <w:rFonts w:ascii="Calibri" w:hAnsi="Calibri" w:cs="Calibri"/>
          <w:color w:val="000000"/>
          <w:sz w:val="20"/>
          <w:szCs w:val="20"/>
        </w:rPr>
      </w:pPr>
      <w:r w:rsidRPr="005E1E99">
        <w:rPr>
          <w:rFonts w:ascii="Calibri" w:hAnsi="Calibri" w:cs="Calibri"/>
          <w:color w:val="000000"/>
          <w:sz w:val="20"/>
          <w:szCs w:val="20"/>
        </w:rPr>
        <w:lastRenderedPageBreak/>
        <w:t xml:space="preserve">wypowiedzi lektora umieszczane są na ścieżce dźwiękowej w taki sposób, by nie przeszkadzały w słuchaniu wypowiedzi na głównej ścieżce, </w:t>
      </w:r>
    </w:p>
    <w:p w:rsidR="005E1E99" w:rsidRPr="005E1E99" w:rsidRDefault="005E1E99" w:rsidP="005E1E99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196" w:line="240" w:lineRule="auto"/>
        <w:ind w:left="284" w:firstLine="0"/>
        <w:jc w:val="both"/>
        <w:rPr>
          <w:rFonts w:ascii="Calibri" w:hAnsi="Calibri" w:cs="Calibri"/>
          <w:color w:val="000000"/>
          <w:sz w:val="20"/>
          <w:szCs w:val="20"/>
        </w:rPr>
      </w:pPr>
      <w:r w:rsidRPr="005E1E99">
        <w:rPr>
          <w:rFonts w:ascii="Calibri" w:hAnsi="Calibri" w:cs="Calibri"/>
          <w:color w:val="000000"/>
          <w:sz w:val="20"/>
          <w:szCs w:val="20"/>
        </w:rPr>
        <w:t xml:space="preserve">głos lektora nie powinien być znacząco głośniejszy ani cichszy od podstawowej ścieżki dźwiękowej, </w:t>
      </w:r>
    </w:p>
    <w:p w:rsidR="005E1E99" w:rsidRPr="005E1E99" w:rsidRDefault="005E1E99" w:rsidP="005E1E99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196" w:line="240" w:lineRule="auto"/>
        <w:ind w:left="284" w:firstLine="0"/>
        <w:jc w:val="both"/>
        <w:rPr>
          <w:rFonts w:ascii="Calibri" w:hAnsi="Calibri" w:cs="Calibri"/>
          <w:color w:val="000000"/>
          <w:sz w:val="20"/>
          <w:szCs w:val="20"/>
        </w:rPr>
      </w:pPr>
      <w:r w:rsidRPr="005E1E99">
        <w:rPr>
          <w:rFonts w:ascii="Calibri" w:hAnsi="Calibri" w:cs="Calibri"/>
          <w:color w:val="000000"/>
          <w:sz w:val="20"/>
          <w:szCs w:val="20"/>
        </w:rPr>
        <w:t xml:space="preserve"> jeżeli w nagraniu znajdują się napisy, powinny być one odczytane przez lektora. </w:t>
      </w:r>
    </w:p>
    <w:p w:rsidR="005C7861" w:rsidRDefault="005C7861" w:rsidP="0032571F">
      <w:pPr>
        <w:tabs>
          <w:tab w:val="left" w:pos="284"/>
        </w:tabs>
      </w:pPr>
    </w:p>
    <w:sectPr w:rsidR="005C7861" w:rsidSect="005E1E99">
      <w:headerReference w:type="default" r:id="rId7"/>
      <w:footerReference w:type="default" r:id="rId8"/>
      <w:pgSz w:w="11906" w:h="16838"/>
      <w:pgMar w:top="709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7F7" w:rsidRDefault="006B07F7">
      <w:pPr>
        <w:spacing w:after="0" w:line="240" w:lineRule="auto"/>
      </w:pPr>
      <w:r>
        <w:separator/>
      </w:r>
    </w:p>
  </w:endnote>
  <w:endnote w:type="continuationSeparator" w:id="0">
    <w:p w:rsidR="006B07F7" w:rsidRDefault="006B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78" w:rsidRDefault="00D24CB0" w:rsidP="00246B06">
    <w:pPr>
      <w:pStyle w:val="Stopka"/>
    </w:pPr>
  </w:p>
  <w:p w:rsidR="002E4A4F" w:rsidRPr="002E4A4F" w:rsidRDefault="002E4A4F" w:rsidP="002E4A4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2E4A4F" w:rsidRPr="002E4A4F" w:rsidRDefault="002E4A4F" w:rsidP="002E4A4F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2E4A4F" w:rsidRPr="002E4A4F" w:rsidRDefault="002E4A4F" w:rsidP="002E4A4F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2E4A4F">
      <w:rPr>
        <w:rFonts w:ascii="Times New Roman" w:eastAsia="Times New Roman" w:hAnsi="Times New Roman" w:cs="Times New Roman"/>
        <w:sz w:val="20"/>
        <w:szCs w:val="20"/>
        <w:lang w:eastAsia="pl-PL"/>
      </w:rPr>
      <w:fldChar w:fldCharType="begin"/>
    </w:r>
    <w:r w:rsidRPr="002E4A4F">
      <w:rPr>
        <w:rFonts w:ascii="Times New Roman" w:eastAsia="Times New Roman" w:hAnsi="Times New Roman" w:cs="Times New Roman"/>
        <w:sz w:val="20"/>
        <w:szCs w:val="20"/>
        <w:lang w:eastAsia="pl-PL"/>
      </w:rPr>
      <w:instrText xml:space="preserve">PAGE  </w:instrText>
    </w:r>
    <w:r w:rsidRPr="002E4A4F">
      <w:rPr>
        <w:rFonts w:ascii="Times New Roman" w:eastAsia="Times New Roman" w:hAnsi="Times New Roman" w:cs="Times New Roman"/>
        <w:sz w:val="20"/>
        <w:szCs w:val="20"/>
        <w:lang w:eastAsia="pl-PL"/>
      </w:rPr>
      <w:fldChar w:fldCharType="separate"/>
    </w:r>
    <w:r w:rsidR="00D24CB0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>3</w:t>
    </w:r>
    <w:r w:rsidRPr="002E4A4F">
      <w:rPr>
        <w:rFonts w:ascii="Times New Roman" w:eastAsia="Times New Roman" w:hAnsi="Times New Roman" w:cs="Times New Roman"/>
        <w:sz w:val="20"/>
        <w:szCs w:val="20"/>
        <w:lang w:eastAsia="pl-PL"/>
      </w:rPr>
      <w:fldChar w:fldCharType="end"/>
    </w:r>
  </w:p>
  <w:p w:rsidR="002E4A4F" w:rsidRPr="002E4A4F" w:rsidRDefault="002E4A4F" w:rsidP="002E4A4F">
    <w:pP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961978" w:rsidRDefault="00D24C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7F7" w:rsidRDefault="006B07F7">
      <w:pPr>
        <w:spacing w:after="0" w:line="240" w:lineRule="auto"/>
      </w:pPr>
      <w:r>
        <w:separator/>
      </w:r>
    </w:p>
  </w:footnote>
  <w:footnote w:type="continuationSeparator" w:id="0">
    <w:p w:rsidR="006B07F7" w:rsidRDefault="006B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4F" w:rsidRDefault="0093424F">
    <w:pPr>
      <w:pStyle w:val="Nagwek"/>
    </w:pPr>
    <w:r w:rsidRPr="00544CC6">
      <w:rPr>
        <w:noProof/>
        <w:lang w:eastAsia="pl-PL"/>
      </w:rPr>
      <w:drawing>
        <wp:inline distT="0" distB="0" distL="0" distR="0" wp14:anchorId="11EF1CE8" wp14:editId="1D3499DE">
          <wp:extent cx="5669915" cy="337942"/>
          <wp:effectExtent l="0" t="0" r="6985" b="5080"/>
          <wp:docPr id="1" name="Obraz 1" descr="Zestawienie logotypów&#10;&#10;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249" descr="Zestawienie logotypów&#10;&#10;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337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4A4F" w:rsidRDefault="002E4A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7EDC"/>
    <w:multiLevelType w:val="hybridMultilevel"/>
    <w:tmpl w:val="F6CC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7A14"/>
    <w:multiLevelType w:val="hybridMultilevel"/>
    <w:tmpl w:val="0E60B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A4671"/>
    <w:multiLevelType w:val="hybridMultilevel"/>
    <w:tmpl w:val="8AB01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77F6B"/>
    <w:multiLevelType w:val="hybridMultilevel"/>
    <w:tmpl w:val="62B65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34407"/>
    <w:multiLevelType w:val="hybridMultilevel"/>
    <w:tmpl w:val="DEF270DA"/>
    <w:lvl w:ilvl="0" w:tplc="CA584AF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62C5F"/>
    <w:multiLevelType w:val="hybridMultilevel"/>
    <w:tmpl w:val="5CAA830E"/>
    <w:lvl w:ilvl="0" w:tplc="42C4BDF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8334DE"/>
    <w:multiLevelType w:val="hybridMultilevel"/>
    <w:tmpl w:val="B98252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D1E30B7"/>
    <w:multiLevelType w:val="hybridMultilevel"/>
    <w:tmpl w:val="F71A2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37011"/>
    <w:multiLevelType w:val="hybridMultilevel"/>
    <w:tmpl w:val="E7DEA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B3806"/>
    <w:multiLevelType w:val="hybridMultilevel"/>
    <w:tmpl w:val="0DFE3D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42"/>
    <w:rsid w:val="00054642"/>
    <w:rsid w:val="000A6D59"/>
    <w:rsid w:val="00246B06"/>
    <w:rsid w:val="002E4A4F"/>
    <w:rsid w:val="0032571F"/>
    <w:rsid w:val="003F00A8"/>
    <w:rsid w:val="005C7861"/>
    <w:rsid w:val="005E1E99"/>
    <w:rsid w:val="006365F4"/>
    <w:rsid w:val="006B07F7"/>
    <w:rsid w:val="00707BDF"/>
    <w:rsid w:val="00855176"/>
    <w:rsid w:val="0093424F"/>
    <w:rsid w:val="009A757E"/>
    <w:rsid w:val="00AE1209"/>
    <w:rsid w:val="00BB09CA"/>
    <w:rsid w:val="00CB367F"/>
    <w:rsid w:val="00D24CB0"/>
    <w:rsid w:val="00E510D7"/>
    <w:rsid w:val="00EC5E76"/>
    <w:rsid w:val="00F36B8D"/>
    <w:rsid w:val="00FC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0CEF8B4-CDF1-499C-8A73-381C333E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642"/>
    <w:pPr>
      <w:ind w:left="720"/>
      <w:contextualSpacing/>
    </w:pPr>
  </w:style>
  <w:style w:type="paragraph" w:customStyle="1" w:styleId="Default">
    <w:name w:val="Default"/>
    <w:rsid w:val="000546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4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642"/>
  </w:style>
  <w:style w:type="paragraph" w:styleId="Nagwek">
    <w:name w:val="header"/>
    <w:basedOn w:val="Normalny"/>
    <w:link w:val="NagwekZnak"/>
    <w:uiPriority w:val="99"/>
    <w:unhideWhenUsed/>
    <w:rsid w:val="002E4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A4F"/>
  </w:style>
  <w:style w:type="paragraph" w:customStyle="1" w:styleId="Znak">
    <w:name w:val="Znak"/>
    <w:basedOn w:val="Normalny"/>
    <w:next w:val="Normalny"/>
    <w:rsid w:val="002E4A4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Ciuła</dc:creator>
  <cp:keywords/>
  <dc:description/>
  <cp:lastModifiedBy>Anna Maślanka</cp:lastModifiedBy>
  <cp:revision>5</cp:revision>
  <dcterms:created xsi:type="dcterms:W3CDTF">2023-07-13T10:12:00Z</dcterms:created>
  <dcterms:modified xsi:type="dcterms:W3CDTF">2023-07-14T08:11:00Z</dcterms:modified>
</cp:coreProperties>
</file>